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3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(АНО ВО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»)</w:t>
      </w:r>
      <w:r>
        <w:rPr>
          <w:rFonts w:eastAsia="Times New Roman"/>
          <w:b/>
          <w:sz w:val="18"/>
          <w:szCs w:val="18"/>
        </w:rPr>
        <w:t xml:space="preserve"> (АНО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>выдана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об образовании на обучение по образовательной программе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(очная форма обучения,</w:t>
      </w:r>
      <w:r w:rsidRPr="00E92ACB">
        <w:rPr>
          <w:rFonts w:eastAsia="Times New Roman"/>
          <w:b/>
          <w:bCs/>
          <w:sz w:val="18"/>
          <w:szCs w:val="18"/>
        </w:rPr>
        <w:t xml:space="preserve"> </w:t>
      </w:r>
      <w:r w:rsidRPr="00145454">
        <w:rPr>
          <w:rFonts w:eastAsia="Times New Roman"/>
          <w:b/>
          <w:bCs/>
          <w:sz w:val="18"/>
          <w:szCs w:val="18"/>
        </w:rPr>
        <w:t xml:space="preserve">иностранный </w:t>
      </w:r>
      <w:proofErr w:type="gramStart"/>
      <w:r w:rsidRPr="00145454">
        <w:rPr>
          <w:rFonts w:eastAsia="Times New Roman"/>
          <w:b/>
          <w:bCs/>
          <w:sz w:val="18"/>
          <w:szCs w:val="18"/>
        </w:rPr>
        <w:t>гражданин</w:t>
      </w:r>
      <w:r>
        <w:rPr>
          <w:rFonts w:eastAsia="Times New Roman"/>
          <w:b/>
          <w:bCs/>
          <w:sz w:val="18"/>
          <w:szCs w:val="18"/>
        </w:rPr>
        <w:t xml:space="preserve"> )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г. Москва                                                                                                                               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по очной</w:t>
      </w:r>
      <w:r>
        <w:rPr>
          <w:rFonts w:eastAsia="Times New Roman"/>
          <w:sz w:val="19"/>
          <w:szCs w:val="19"/>
        </w:rPr>
        <w:t xml:space="preserve"> форме обучения по </w:t>
      </w:r>
      <w:proofErr w:type="gramStart"/>
      <w:r>
        <w:rPr>
          <w:rFonts w:eastAsia="Times New Roman"/>
          <w:sz w:val="19"/>
          <w:szCs w:val="19"/>
        </w:rPr>
        <w:t>на</w:t>
      </w:r>
      <w:r w:rsidRPr="00391A4C">
        <w:rPr>
          <w:rFonts w:eastAsia="Times New Roman"/>
          <w:sz w:val="19"/>
          <w:szCs w:val="19"/>
        </w:rPr>
        <w:t>правлению  подготовки</w:t>
      </w:r>
      <w:proofErr w:type="gramEnd"/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>обязуется оплатить обучение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обучения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6F65A2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Обучающемуся меры поощрения и меры дисциплинарного взыскания в соответствии с </w:t>
      </w:r>
      <w:r w:rsidRPr="00391A4C">
        <w:rPr>
          <w:rFonts w:eastAsia="Times New Roman"/>
          <w:sz w:val="19"/>
          <w:szCs w:val="19"/>
        </w:rPr>
        <w:lastRenderedPageBreak/>
        <w:t xml:space="preserve">законодательством Российской Федерации, учредительными документами Исполнителя, настоящим Договором и </w:t>
      </w:r>
      <w:r w:rsidRPr="006F65A2">
        <w:rPr>
          <w:rFonts w:eastAsia="Times New Roman"/>
          <w:sz w:val="19"/>
          <w:szCs w:val="19"/>
        </w:rPr>
        <w:t>локальными нормативными актами Исполнителя.</w:t>
      </w:r>
    </w:p>
    <w:p w:rsidR="002C09BE" w:rsidRPr="006F65A2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2.2. Заказчик вправе получать информацию</w:t>
      </w:r>
      <w:r w:rsidRPr="00391A4C">
        <w:rPr>
          <w:rFonts w:eastAsia="Times New Roman"/>
          <w:sz w:val="19"/>
          <w:szCs w:val="19"/>
        </w:rPr>
        <w:t xml:space="preserve">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3.1.4. Обеспечить Обучающемуся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3.1.5. 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3.4. Обучающиеся,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lastRenderedPageBreak/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 xml:space="preserve"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</w:t>
      </w:r>
      <w:proofErr w:type="gramStart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</w:t>
      </w:r>
      <w:proofErr w:type="gramEnd"/>
      <w:r w:rsidRPr="00D13B67">
        <w:rPr>
          <w:rFonts w:eastAsia="Times New Roman"/>
          <w:i/>
          <w:iCs/>
          <w:sz w:val="19"/>
          <w:szCs w:val="19"/>
        </w:rPr>
        <w:t>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 xml:space="preserve"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</w:t>
      </w:r>
      <w:proofErr w:type="gramStart"/>
      <w:r w:rsidRPr="00D13B67">
        <w:rPr>
          <w:sz w:val="19"/>
          <w:szCs w:val="19"/>
        </w:rPr>
        <w:t>размере  (</w:t>
      </w:r>
      <w:proofErr w:type="gramEnd"/>
      <w:r w:rsidRPr="00D13B67">
        <w:rPr>
          <w:sz w:val="19"/>
          <w:szCs w:val="19"/>
        </w:rPr>
        <w:t>____________________________________________________) руб. 00 коп. не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4.12.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5.3.1. Применение к Обучающемуся,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5.3.3. Установление нарушения порядка приема к Исполнителю, повлекшего по вине Обучающегося его </w:t>
      </w:r>
      <w:r w:rsidRPr="00145454">
        <w:rPr>
          <w:rFonts w:eastAsia="Times New Roman"/>
          <w:sz w:val="19"/>
          <w:szCs w:val="19"/>
        </w:rPr>
        <w:lastRenderedPageBreak/>
        <w:t>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 Настоящий Договор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6F65A2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</w:t>
      </w:r>
      <w:r w:rsidRPr="006F65A2">
        <w:rPr>
          <w:rFonts w:eastAsia="Times New Roman"/>
          <w:sz w:val="19"/>
          <w:szCs w:val="19"/>
        </w:rPr>
        <w:t>вычетом фактически понесённых Исполнителем расходов.</w:t>
      </w:r>
    </w:p>
    <w:p w:rsidR="002C09BE" w:rsidRPr="006F65A2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</w:t>
      </w:r>
      <w:r w:rsidRPr="00145454">
        <w:rPr>
          <w:rFonts w:eastAsia="Times New Roman"/>
          <w:sz w:val="19"/>
          <w:szCs w:val="19"/>
        </w:rPr>
        <w:t>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>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АНО ВО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 xml:space="preserve">Московская область, г.о.Люберцы,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г.Люберцы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 w:rsidR="00CA6EF9">
              <w:rPr>
                <w:rFonts w:eastAsia="Times New Roman"/>
                <w:sz w:val="19"/>
                <w:szCs w:val="19"/>
              </w:rPr>
              <w:t>50270</w:t>
            </w:r>
            <w:bookmarkStart w:id="0" w:name="_GoBack"/>
            <w:bookmarkEnd w:id="0"/>
            <w:r>
              <w:rPr>
                <w:rFonts w:eastAsia="Times New Roman"/>
                <w:sz w:val="19"/>
                <w:szCs w:val="19"/>
              </w:rPr>
              <w:t>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р/с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дата рождения «___» _____________ __________ г.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(______________) ____________________________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г.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г.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(_________) 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выдан «_____» _____________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_  _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________ г.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&lt;3&gt; Заполняется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sectPr w:rsidR="002C09BE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 w15:restartNumberingAfterBreak="0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A94742"/>
    <w:rsid w:val="00CA6EF9"/>
    <w:rsid w:val="00CB1F9A"/>
    <w:rsid w:val="00E90C25"/>
    <w:rsid w:val="00F1742A"/>
    <w:rsid w:val="00FA331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C8F3A"/>
  <w15:docId w15:val="{3BD18580-EDEA-447B-A2E8-1D53EDD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4F52-A007-40A0-B24C-780CFFB9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Олег</cp:lastModifiedBy>
  <cp:revision>3</cp:revision>
  <cp:lastPrinted>2025-04-01T05:43:00Z</cp:lastPrinted>
  <dcterms:created xsi:type="dcterms:W3CDTF">2025-04-01T11:40:00Z</dcterms:created>
  <dcterms:modified xsi:type="dcterms:W3CDTF">2025-07-25T14:03:00Z</dcterms:modified>
</cp:coreProperties>
</file>